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right="480" w:firstLine="1928" w:firstLineChars="600"/>
        <w:jc w:val="center"/>
        <w:textAlignment w:val="auto"/>
        <w:outlineLvl w:val="9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会议议程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364"/>
        <w:gridCol w:w="624"/>
        <w:gridCol w:w="3413"/>
        <w:gridCol w:w="2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日期</w:t>
            </w: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时间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主题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 xml:space="preserve">    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4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11月13日</w:t>
            </w:r>
          </w:p>
        </w:tc>
        <w:tc>
          <w:tcPr>
            <w:tcW w:w="1988" w:type="dxa"/>
            <w:gridSpan w:val="2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下午14:00</w:t>
            </w:r>
          </w:p>
        </w:tc>
        <w:tc>
          <w:tcPr>
            <w:tcW w:w="55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外地参会代表报到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55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在京参会代表也可下午报到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4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11月14日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上午</w:t>
            </w: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8:00开始</w:t>
            </w:r>
          </w:p>
        </w:tc>
        <w:tc>
          <w:tcPr>
            <w:tcW w:w="55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在京参会代表报到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9:00～9:10</w:t>
            </w:r>
          </w:p>
        </w:tc>
        <w:tc>
          <w:tcPr>
            <w:tcW w:w="55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总局领导、主办方领导致辞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757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9:10～1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0     </w:t>
            </w: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 xml:space="preserve">  单元一：政策解读和制度创新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9:10～9: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出版业供给侧结构性改革关键在提高编辑含量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王涛（中国出版集团党组书记、中国出版传媒股份有限公司总经理）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9: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0～10: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权威专家解读十九大精神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汪玉凯（</w:t>
            </w:r>
            <w:r>
              <w:rPr>
                <w:rFonts w:hint="eastAsia" w:ascii="宋体" w:hAnsi="宋体" w:cs="宋体"/>
                <w:sz w:val="24"/>
                <w:szCs w:val="24"/>
              </w:rPr>
              <w:t>国家行政学院教授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10: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0～10: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出版业供给侧结构性改革政策和制度创新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总局有关领导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10: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0～11：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数字时代的出版供给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中宣部有关领导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11: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0～11: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内容出版商融入知识付费大潮的可能路径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胡 泳（北京大学新闻与传播学院教授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11月14 日下午</w:t>
            </w:r>
          </w:p>
        </w:tc>
        <w:tc>
          <w:tcPr>
            <w:tcW w:w="757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14:00～1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0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单</w:t>
            </w: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元二：技术和版权背景下的供给侧改革解决方案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14:00～14:30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知识服务强国 ISLI如何实现行业级内容资源管理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总局有关领导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14: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0～1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资本时代，文化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PPP能给出版业带来什么？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魏鹏举（中央财经大学教授）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1" w:hRule="atLeast"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0～15: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数字化出版与营销创新的举措和成效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林金安（</w:t>
            </w:r>
            <w:r>
              <w:rPr>
                <w:rFonts w:hint="eastAsia" w:ascii="宋体" w:hAnsi="宋体" w:cs="宋体"/>
                <w:sz w:val="24"/>
                <w:szCs w:val="24"/>
              </w:rPr>
              <w:t>高等教育出版社副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总编辑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4" w:hRule="atLeast"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0～15: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数字出版业知识产权交易探索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施其明（总局出版融合发展（武汉）重点实验室总工程师）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15: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0～1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如何用区块链技术根治版权保护痛点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朱志文（“亿书”创始人）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0～16: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55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对谈环节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16: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0～16: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知识变现巨头涌入，内容商还有哪些机会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果壳分答总编辑潘葱霞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16: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0～1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：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抢跑互联网教育下半场，出版商做在线课程怎么赚钱？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湛庐文化副总裁陈漪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0～17: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大数据+人工智能，升级书店4.0模式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范淼（聚能鼎力副总裁）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17: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0～1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0</w:t>
            </w:r>
          </w:p>
        </w:tc>
        <w:tc>
          <w:tcPr>
            <w:tcW w:w="558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对谈环节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945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11月15日上午</w:t>
            </w:r>
          </w:p>
        </w:tc>
        <w:tc>
          <w:tcPr>
            <w:tcW w:w="7577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9: 00～1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>:</w:t>
            </w:r>
            <w:r>
              <w:rPr>
                <w:rFonts w:hint="eastAsia" w:ascii="宋体" w:hAnsi="宋体" w:cs="宋体"/>
                <w:b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b/>
                <w:sz w:val="24"/>
                <w:szCs w:val="24"/>
              </w:rPr>
              <w:t xml:space="preserve">0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b/>
                <w:sz w:val="24"/>
                <w:szCs w:val="24"/>
              </w:rPr>
              <w:t>单元三：出版业调结构、去产能、补短板的实操分享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9:00～9:30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《可怕的科学》“可怕”的发行量是如何产生的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王建华（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北京少年儿童出版社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副社长）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9：30～10:00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新华文轩的化库存解决方案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王彬（新华文轩云汉网络公司总经理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10:00～10:30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出版社库存管控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王训海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bCs/>
                <w:sz w:val="24"/>
                <w:szCs w:val="24"/>
              </w:rPr>
              <w:t>时代华文书局总经理</w:t>
            </w: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10:30～11:00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以知识管理促行业供给侧优化及去库存管理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王壮（北京语言大学出版社副社长）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945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11:00～11:30</w:t>
            </w:r>
          </w:p>
        </w:tc>
        <w:tc>
          <w:tcPr>
            <w:tcW w:w="3413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eastAsia="宋体" w:cs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畅销书打造新法则</w:t>
            </w:r>
          </w:p>
        </w:tc>
        <w:tc>
          <w:tcPr>
            <w:tcW w:w="217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  <w:lang w:eastAsia="zh-CN"/>
              </w:rPr>
              <w:t>魏玲（磨铁集团副总裁，磨铁图书总编辑）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09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11月15日下午</w:t>
            </w:r>
          </w:p>
        </w:tc>
        <w:tc>
          <w:tcPr>
            <w:tcW w:w="6213" w:type="dxa"/>
            <w:gridSpan w:val="3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cs="宋体"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Cs/>
                <w:sz w:val="24"/>
                <w:szCs w:val="24"/>
              </w:rPr>
              <w:t>参观考察</w:t>
            </w:r>
          </w:p>
        </w:tc>
      </w:tr>
    </w:tbl>
    <w:tbl>
      <w:tblPr>
        <w:tblStyle w:val="4"/>
        <w:tblpPr w:leftFromText="180" w:rightFromText="180" w:vertAnchor="text" w:tblpX="-4723" w:tblpY="-22919"/>
        <w:tblOverlap w:val="never"/>
        <w:tblW w:w="30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" w:hRule="atLeast"/>
        </w:trPr>
        <w:tc>
          <w:tcPr>
            <w:tcW w:w="303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eastAsia="黑体"/>
                <w:sz w:val="24"/>
                <w:szCs w:val="24"/>
                <w:vertAlign w:val="baseline"/>
              </w:rPr>
            </w:pPr>
          </w:p>
        </w:tc>
      </w:tr>
    </w:tbl>
    <w:tbl>
      <w:tblPr>
        <w:tblStyle w:val="4"/>
        <w:tblpPr w:leftFromText="180" w:rightFromText="180" w:vertAnchor="text" w:tblpX="8492" w:tblpY="-18491"/>
        <w:tblOverlap w:val="never"/>
        <w:tblW w:w="3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2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/>
              <w:jc w:val="center"/>
              <w:textAlignment w:val="auto"/>
              <w:outlineLvl w:val="9"/>
              <w:rPr>
                <w:rFonts w:hint="eastAsia" w:eastAsia="黑体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eastAsia="黑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EB33EF"/>
    <w:rsid w:val="45EB33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2017-10-28T11:51:00Z</dcterms:created>
  <dc:creator>admin</dc:creator>
  <cp:lastModifiedBy>admin</cp:lastModifiedBy>
  <dcterms:modified xsi:type="dcterms:W3CDTF">2017-10-28T11:51:50Z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